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B9EF" w14:textId="2FE2EA98" w:rsidR="00F75B90" w:rsidRPr="00F75B90" w:rsidRDefault="00F75B90" w:rsidP="00941E4A">
      <w:pPr>
        <w:tabs>
          <w:tab w:val="left" w:pos="567"/>
        </w:tabs>
        <w:rPr>
          <w:b/>
          <w:bCs/>
          <w:lang w:val="en-US"/>
        </w:rPr>
      </w:pPr>
      <w:r w:rsidRPr="00F75B90">
        <w:rPr>
          <w:b/>
          <w:bCs/>
          <w:lang w:val="en-US"/>
        </w:rPr>
        <w:t xml:space="preserve">Understanding the </w:t>
      </w:r>
      <w:r w:rsidR="00C833A2" w:rsidRPr="00F75B90">
        <w:rPr>
          <w:b/>
          <w:bCs/>
          <w:lang w:val="en-US"/>
        </w:rPr>
        <w:t xml:space="preserve">dynamics of tectonic plate movements and their impact on </w:t>
      </w:r>
      <w:r w:rsidR="00941E4A">
        <w:rPr>
          <w:b/>
          <w:bCs/>
          <w:lang w:val="en-US"/>
        </w:rPr>
        <w:t>E</w:t>
      </w:r>
      <w:r w:rsidR="00C833A2" w:rsidRPr="00F75B90">
        <w:rPr>
          <w:b/>
          <w:bCs/>
          <w:lang w:val="en-US"/>
        </w:rPr>
        <w:t>arth's geological features: a comprehensive study of earthquakes, volcanism, and mountain formation</w:t>
      </w:r>
    </w:p>
    <w:p w14:paraId="78A808B9" w14:textId="77777777" w:rsidR="00B720FF" w:rsidRDefault="00B720FF" w:rsidP="00941E4A">
      <w:pPr>
        <w:tabs>
          <w:tab w:val="left" w:pos="567"/>
        </w:tabs>
        <w:rPr>
          <w:u w:val="single"/>
          <w:lang w:val="en-US"/>
        </w:rPr>
      </w:pPr>
    </w:p>
    <w:p w14:paraId="6C93B600" w14:textId="550D0D63" w:rsidR="00F75B90" w:rsidRPr="00F75B90" w:rsidRDefault="00F75B90" w:rsidP="00941E4A">
      <w:pPr>
        <w:tabs>
          <w:tab w:val="left" w:pos="567"/>
        </w:tabs>
        <w:rPr>
          <w:lang w:val="en-US"/>
        </w:rPr>
      </w:pPr>
      <w:r w:rsidRPr="00F75B90">
        <w:rPr>
          <w:u w:val="single"/>
          <w:lang w:val="en-US"/>
        </w:rPr>
        <w:t>Author A</w:t>
      </w:r>
      <w:r w:rsidR="002A47FE">
        <w:rPr>
          <w:u w:val="single"/>
          <w:lang w:val="en-US"/>
        </w:rPr>
        <w:t>.</w:t>
      </w:r>
      <w:r w:rsidRPr="00F75B90">
        <w:rPr>
          <w:u w:val="single"/>
          <w:lang w:val="en-US"/>
        </w:rPr>
        <w:t xml:space="preserve"> Author</w:t>
      </w:r>
      <w:r w:rsidRPr="00F75B90">
        <w:rPr>
          <w:vertAlign w:val="superscript"/>
          <w:lang w:val="en-US"/>
        </w:rPr>
        <w:t>1</w:t>
      </w:r>
      <w:r w:rsidRPr="00F75B90">
        <w:rPr>
          <w:lang w:val="en-US"/>
        </w:rPr>
        <w:t xml:space="preserve">, </w:t>
      </w:r>
      <w:proofErr w:type="spellStart"/>
      <w:r w:rsidRPr="00F75B90">
        <w:rPr>
          <w:lang w:val="en-US"/>
        </w:rPr>
        <w:t>Bauthor</w:t>
      </w:r>
      <w:proofErr w:type="spellEnd"/>
      <w:r w:rsidRPr="00F75B90">
        <w:rPr>
          <w:lang w:val="en-US"/>
        </w:rPr>
        <w:t xml:space="preserve"> B</w:t>
      </w:r>
      <w:r w:rsidR="002A47FE">
        <w:rPr>
          <w:lang w:val="en-US"/>
        </w:rPr>
        <w:t>.</w:t>
      </w:r>
      <w:r w:rsidRPr="00F75B90">
        <w:rPr>
          <w:lang w:val="en-US"/>
        </w:rPr>
        <w:t xml:space="preserve"> Bauthor</w:t>
      </w:r>
      <w:r w:rsidRPr="00F75B90">
        <w:rPr>
          <w:vertAlign w:val="superscript"/>
          <w:lang w:val="en-US"/>
        </w:rPr>
        <w:t>2</w:t>
      </w:r>
      <w:r w:rsidRPr="00F75B90">
        <w:rPr>
          <w:lang w:val="en-US"/>
        </w:rPr>
        <w:t xml:space="preserve">, </w:t>
      </w:r>
      <w:proofErr w:type="spellStart"/>
      <w:r w:rsidRPr="00F75B90">
        <w:rPr>
          <w:lang w:val="en-US"/>
        </w:rPr>
        <w:t>Cauthor</w:t>
      </w:r>
      <w:proofErr w:type="spellEnd"/>
      <w:r w:rsidRPr="00F75B90">
        <w:rPr>
          <w:lang w:val="en-US"/>
        </w:rPr>
        <w:t xml:space="preserve"> C</w:t>
      </w:r>
      <w:r w:rsidR="002A47FE">
        <w:rPr>
          <w:lang w:val="en-US"/>
        </w:rPr>
        <w:t>.</w:t>
      </w:r>
      <w:r w:rsidRPr="00F75B90">
        <w:rPr>
          <w:lang w:val="en-US"/>
        </w:rPr>
        <w:t xml:space="preserve"> Cauthor</w:t>
      </w:r>
      <w:r w:rsidRPr="00F75B90">
        <w:rPr>
          <w:vertAlign w:val="superscript"/>
          <w:lang w:val="en-US"/>
        </w:rPr>
        <w:t>3</w:t>
      </w:r>
      <w:r w:rsidRPr="00F75B90">
        <w:rPr>
          <w:lang w:val="en-US"/>
        </w:rPr>
        <w:t xml:space="preserve">, </w:t>
      </w:r>
      <w:proofErr w:type="spellStart"/>
      <w:r w:rsidRPr="00F75B90">
        <w:rPr>
          <w:lang w:val="en-US"/>
        </w:rPr>
        <w:t>Dauthor</w:t>
      </w:r>
      <w:proofErr w:type="spellEnd"/>
      <w:r w:rsidRPr="00F75B90">
        <w:rPr>
          <w:lang w:val="en-US"/>
        </w:rPr>
        <w:t xml:space="preserve"> D</w:t>
      </w:r>
      <w:r w:rsidR="002A47FE">
        <w:rPr>
          <w:lang w:val="en-US"/>
        </w:rPr>
        <w:t>.</w:t>
      </w:r>
      <w:r w:rsidRPr="00F75B90">
        <w:rPr>
          <w:lang w:val="en-US"/>
        </w:rPr>
        <w:t xml:space="preserve"> Dauthor</w:t>
      </w:r>
      <w:r w:rsidRPr="00F75B90">
        <w:rPr>
          <w:vertAlign w:val="superscript"/>
          <w:lang w:val="en-US"/>
        </w:rPr>
        <w:t>4</w:t>
      </w:r>
      <w:r w:rsidRPr="00F75B90">
        <w:rPr>
          <w:lang w:val="en-US"/>
        </w:rPr>
        <w:t xml:space="preserve">, </w:t>
      </w:r>
      <w:proofErr w:type="spellStart"/>
      <w:r w:rsidRPr="00F75B90">
        <w:rPr>
          <w:lang w:val="en-US"/>
        </w:rPr>
        <w:t>Eauthor</w:t>
      </w:r>
      <w:proofErr w:type="spellEnd"/>
      <w:r w:rsidRPr="00F75B90">
        <w:rPr>
          <w:lang w:val="en-US"/>
        </w:rPr>
        <w:t xml:space="preserve"> E</w:t>
      </w:r>
      <w:r w:rsidR="002A47FE">
        <w:rPr>
          <w:lang w:val="en-US"/>
        </w:rPr>
        <w:t>.</w:t>
      </w:r>
      <w:r w:rsidRPr="00F75B90">
        <w:rPr>
          <w:lang w:val="en-US"/>
        </w:rPr>
        <w:t xml:space="preserve"> Eauthor</w:t>
      </w:r>
      <w:r w:rsidRPr="00F75B90">
        <w:rPr>
          <w:vertAlign w:val="superscript"/>
          <w:lang w:val="en-US"/>
        </w:rPr>
        <w:t>5</w:t>
      </w:r>
      <w:r w:rsidRPr="00F75B90">
        <w:rPr>
          <w:lang w:val="en-US"/>
        </w:rPr>
        <w:t xml:space="preserve">, </w:t>
      </w:r>
      <w:proofErr w:type="spellStart"/>
      <w:r w:rsidRPr="00F75B90">
        <w:rPr>
          <w:lang w:val="en-US"/>
        </w:rPr>
        <w:t>Fauthor</w:t>
      </w:r>
      <w:proofErr w:type="spellEnd"/>
      <w:r w:rsidRPr="00F75B90">
        <w:rPr>
          <w:lang w:val="en-US"/>
        </w:rPr>
        <w:t xml:space="preserve"> F</w:t>
      </w:r>
      <w:r w:rsidR="002A47FE">
        <w:rPr>
          <w:lang w:val="en-US"/>
        </w:rPr>
        <w:t>.</w:t>
      </w:r>
      <w:r w:rsidRPr="00F75B90">
        <w:rPr>
          <w:lang w:val="en-US"/>
        </w:rPr>
        <w:t xml:space="preserve"> Fauthor</w:t>
      </w:r>
      <w:r w:rsidRPr="00F75B90">
        <w:rPr>
          <w:vertAlign w:val="superscript"/>
          <w:lang w:val="en-US"/>
        </w:rPr>
        <w:t>6</w:t>
      </w:r>
      <w:r w:rsidRPr="00F75B90">
        <w:rPr>
          <w:lang w:val="en-US"/>
        </w:rPr>
        <w:t xml:space="preserve">, </w:t>
      </w:r>
      <w:proofErr w:type="spellStart"/>
      <w:r w:rsidRPr="00F75B90">
        <w:rPr>
          <w:lang w:val="en-US"/>
        </w:rPr>
        <w:t>Gauthor</w:t>
      </w:r>
      <w:proofErr w:type="spellEnd"/>
      <w:r w:rsidRPr="00F75B90">
        <w:rPr>
          <w:lang w:val="en-US"/>
        </w:rPr>
        <w:t xml:space="preserve"> G</w:t>
      </w:r>
      <w:r w:rsidR="002A47FE">
        <w:rPr>
          <w:lang w:val="en-US"/>
        </w:rPr>
        <w:t>.</w:t>
      </w:r>
      <w:r w:rsidRPr="00F75B90">
        <w:rPr>
          <w:lang w:val="en-US"/>
        </w:rPr>
        <w:t xml:space="preserve"> Gauthor</w:t>
      </w:r>
      <w:r w:rsidRPr="00F75B90">
        <w:rPr>
          <w:vertAlign w:val="superscript"/>
          <w:lang w:val="en-US"/>
        </w:rPr>
        <w:t>7</w:t>
      </w:r>
      <w:r w:rsidRPr="00F75B90">
        <w:rPr>
          <w:lang w:val="en-US"/>
        </w:rPr>
        <w:t xml:space="preserve">, </w:t>
      </w:r>
      <w:proofErr w:type="spellStart"/>
      <w:r w:rsidRPr="00F75B90">
        <w:rPr>
          <w:lang w:val="en-US"/>
        </w:rPr>
        <w:t>Hauthor</w:t>
      </w:r>
      <w:proofErr w:type="spellEnd"/>
      <w:r w:rsidRPr="00F75B90">
        <w:rPr>
          <w:lang w:val="en-US"/>
        </w:rPr>
        <w:t xml:space="preserve"> H</w:t>
      </w:r>
      <w:r w:rsidR="002A47FE">
        <w:rPr>
          <w:lang w:val="en-US"/>
        </w:rPr>
        <w:t>.</w:t>
      </w:r>
      <w:r w:rsidRPr="00F75B90">
        <w:rPr>
          <w:lang w:val="en-US"/>
        </w:rPr>
        <w:t xml:space="preserve"> Hauthor</w:t>
      </w:r>
      <w:r w:rsidRPr="00F75B90">
        <w:rPr>
          <w:vertAlign w:val="superscript"/>
          <w:lang w:val="en-US"/>
        </w:rPr>
        <w:t>8</w:t>
      </w:r>
    </w:p>
    <w:p w14:paraId="445F45AD" w14:textId="77777777" w:rsidR="00F75B90" w:rsidRDefault="00F75B90" w:rsidP="00941E4A">
      <w:pPr>
        <w:tabs>
          <w:tab w:val="left" w:pos="567"/>
        </w:tabs>
        <w:rPr>
          <w:vertAlign w:val="superscript"/>
          <w:lang w:val="en-US"/>
        </w:rPr>
      </w:pPr>
    </w:p>
    <w:p w14:paraId="79BA1655" w14:textId="5FA1D7D3" w:rsidR="00F75B90" w:rsidRPr="002208F6" w:rsidRDefault="00F75B90" w:rsidP="00941E4A">
      <w:pPr>
        <w:tabs>
          <w:tab w:val="left" w:pos="567"/>
        </w:tabs>
        <w:rPr>
          <w:sz w:val="18"/>
          <w:szCs w:val="18"/>
          <w:lang w:val="en-US"/>
        </w:rPr>
      </w:pPr>
      <w:r w:rsidRPr="002208F6">
        <w:rPr>
          <w:sz w:val="18"/>
          <w:szCs w:val="18"/>
          <w:vertAlign w:val="superscript"/>
          <w:lang w:val="en-US"/>
        </w:rPr>
        <w:t>1</w:t>
      </w:r>
      <w:r w:rsidRPr="002208F6">
        <w:rPr>
          <w:sz w:val="18"/>
          <w:szCs w:val="18"/>
          <w:lang w:val="en-US"/>
        </w:rPr>
        <w:t xml:space="preserve">University of </w:t>
      </w:r>
      <w:r w:rsidR="00B81E83" w:rsidRPr="002208F6">
        <w:rPr>
          <w:sz w:val="18"/>
          <w:szCs w:val="18"/>
          <w:lang w:val="en-US"/>
        </w:rPr>
        <w:t>Natural Sciences</w:t>
      </w:r>
      <w:r w:rsidRPr="002208F6">
        <w:rPr>
          <w:sz w:val="18"/>
          <w:szCs w:val="18"/>
          <w:lang w:val="en-US"/>
        </w:rPr>
        <w:t xml:space="preserve">, Department of Geosciences and Geography, </w:t>
      </w:r>
      <w:proofErr w:type="spellStart"/>
      <w:r w:rsidR="00B81E83" w:rsidRPr="002208F6">
        <w:rPr>
          <w:sz w:val="18"/>
          <w:szCs w:val="18"/>
          <w:lang w:val="en-US"/>
        </w:rPr>
        <w:t>TownCity</w:t>
      </w:r>
      <w:proofErr w:type="spellEnd"/>
      <w:r w:rsidRPr="002208F6">
        <w:rPr>
          <w:sz w:val="18"/>
          <w:szCs w:val="18"/>
          <w:lang w:val="en-US"/>
        </w:rPr>
        <w:t xml:space="preserve">, </w:t>
      </w:r>
      <w:r w:rsidR="00B81E83" w:rsidRPr="002208F6">
        <w:rPr>
          <w:sz w:val="18"/>
          <w:szCs w:val="18"/>
          <w:lang w:val="en-US"/>
        </w:rPr>
        <w:t>Finland</w:t>
      </w:r>
      <w:r w:rsidRPr="002208F6">
        <w:rPr>
          <w:sz w:val="18"/>
          <w:szCs w:val="18"/>
          <w:lang w:val="en-US"/>
        </w:rPr>
        <w:t xml:space="preserve">. </w:t>
      </w:r>
      <w:r w:rsidRPr="002208F6">
        <w:rPr>
          <w:sz w:val="18"/>
          <w:szCs w:val="18"/>
          <w:vertAlign w:val="superscript"/>
          <w:lang w:val="en-US"/>
        </w:rPr>
        <w:t>2</w:t>
      </w:r>
      <w:r w:rsidRPr="002208F6">
        <w:rPr>
          <w:sz w:val="18"/>
          <w:szCs w:val="18"/>
          <w:lang w:val="en-US"/>
        </w:rPr>
        <w:t xml:space="preserve">University of </w:t>
      </w:r>
      <w:r w:rsidR="00B81E83" w:rsidRPr="002208F6">
        <w:rPr>
          <w:sz w:val="18"/>
          <w:szCs w:val="18"/>
          <w:lang w:val="en-US"/>
        </w:rPr>
        <w:t>Natural Sciences</w:t>
      </w:r>
      <w:r w:rsidRPr="002208F6">
        <w:rPr>
          <w:sz w:val="18"/>
          <w:szCs w:val="18"/>
          <w:lang w:val="en-US"/>
        </w:rPr>
        <w:t xml:space="preserve">, Department of Geosciences and Geography, </w:t>
      </w:r>
      <w:proofErr w:type="spellStart"/>
      <w:r w:rsidR="00B81E83" w:rsidRPr="002208F6">
        <w:rPr>
          <w:sz w:val="18"/>
          <w:szCs w:val="18"/>
          <w:lang w:val="en-US"/>
        </w:rPr>
        <w:t>Towncity</w:t>
      </w:r>
      <w:proofErr w:type="spellEnd"/>
      <w:r w:rsidRPr="002208F6">
        <w:rPr>
          <w:sz w:val="18"/>
          <w:szCs w:val="18"/>
          <w:lang w:val="en-US"/>
        </w:rPr>
        <w:t xml:space="preserve">, </w:t>
      </w:r>
      <w:r w:rsidR="00B81E83" w:rsidRPr="002208F6">
        <w:rPr>
          <w:sz w:val="18"/>
          <w:szCs w:val="18"/>
          <w:lang w:val="en-US"/>
        </w:rPr>
        <w:t>Sweden</w:t>
      </w:r>
      <w:r w:rsidRPr="002208F6">
        <w:rPr>
          <w:sz w:val="18"/>
          <w:szCs w:val="18"/>
          <w:lang w:val="en-US"/>
        </w:rPr>
        <w:t xml:space="preserve">. </w:t>
      </w:r>
      <w:r w:rsidRPr="002208F6">
        <w:rPr>
          <w:sz w:val="18"/>
          <w:szCs w:val="18"/>
          <w:vertAlign w:val="superscript"/>
          <w:lang w:val="en-US"/>
        </w:rPr>
        <w:t>3</w:t>
      </w:r>
      <w:r w:rsidRPr="002208F6">
        <w:rPr>
          <w:sz w:val="18"/>
          <w:szCs w:val="18"/>
          <w:lang w:val="en-US"/>
        </w:rPr>
        <w:t xml:space="preserve">University of </w:t>
      </w:r>
      <w:r w:rsidR="00B81E83" w:rsidRPr="002208F6">
        <w:rPr>
          <w:sz w:val="18"/>
          <w:szCs w:val="18"/>
          <w:lang w:val="en-US"/>
        </w:rPr>
        <w:t>Natural Sciences</w:t>
      </w:r>
      <w:r w:rsidRPr="002208F6">
        <w:rPr>
          <w:sz w:val="18"/>
          <w:szCs w:val="18"/>
          <w:lang w:val="en-US"/>
        </w:rPr>
        <w:t xml:space="preserve">, Department of Geosciences and Geography, </w:t>
      </w:r>
      <w:proofErr w:type="spellStart"/>
      <w:r w:rsidR="00B81E83" w:rsidRPr="002208F6">
        <w:rPr>
          <w:sz w:val="18"/>
          <w:szCs w:val="18"/>
          <w:lang w:val="en-US"/>
        </w:rPr>
        <w:t>Towncity</w:t>
      </w:r>
      <w:proofErr w:type="spellEnd"/>
      <w:r w:rsidRPr="002208F6">
        <w:rPr>
          <w:sz w:val="18"/>
          <w:szCs w:val="18"/>
          <w:lang w:val="en-US"/>
        </w:rPr>
        <w:t xml:space="preserve">, </w:t>
      </w:r>
      <w:r w:rsidR="00B81E83" w:rsidRPr="002208F6">
        <w:rPr>
          <w:sz w:val="18"/>
          <w:szCs w:val="18"/>
          <w:lang w:val="en-US"/>
        </w:rPr>
        <w:t>Norway</w:t>
      </w:r>
      <w:r w:rsidRPr="002208F6">
        <w:rPr>
          <w:sz w:val="18"/>
          <w:szCs w:val="18"/>
          <w:lang w:val="en-US"/>
        </w:rPr>
        <w:t xml:space="preserve">. </w:t>
      </w:r>
      <w:r w:rsidRPr="002208F6">
        <w:rPr>
          <w:sz w:val="18"/>
          <w:szCs w:val="18"/>
          <w:vertAlign w:val="superscript"/>
          <w:lang w:val="en-US"/>
        </w:rPr>
        <w:t>4</w:t>
      </w:r>
      <w:r w:rsidRPr="002208F6">
        <w:rPr>
          <w:sz w:val="18"/>
          <w:szCs w:val="18"/>
          <w:lang w:val="en-US"/>
        </w:rPr>
        <w:t xml:space="preserve">University of </w:t>
      </w:r>
      <w:r w:rsidR="00B81E83" w:rsidRPr="002208F6">
        <w:rPr>
          <w:sz w:val="18"/>
          <w:szCs w:val="18"/>
          <w:lang w:val="en-US"/>
        </w:rPr>
        <w:t>Natural Sciences</w:t>
      </w:r>
      <w:r w:rsidRPr="002208F6">
        <w:rPr>
          <w:sz w:val="18"/>
          <w:szCs w:val="18"/>
          <w:lang w:val="en-US"/>
        </w:rPr>
        <w:t xml:space="preserve">, Department of Geosciences and Geography, </w:t>
      </w:r>
      <w:proofErr w:type="spellStart"/>
      <w:r w:rsidR="00B81E83" w:rsidRPr="002208F6">
        <w:rPr>
          <w:sz w:val="18"/>
          <w:szCs w:val="18"/>
          <w:lang w:val="en-US"/>
        </w:rPr>
        <w:t>Towncity</w:t>
      </w:r>
      <w:proofErr w:type="spellEnd"/>
      <w:r w:rsidRPr="002208F6">
        <w:rPr>
          <w:sz w:val="18"/>
          <w:szCs w:val="18"/>
          <w:lang w:val="en-US"/>
        </w:rPr>
        <w:t xml:space="preserve">, </w:t>
      </w:r>
      <w:r w:rsidR="00B81E83" w:rsidRPr="002208F6">
        <w:rPr>
          <w:sz w:val="18"/>
          <w:szCs w:val="18"/>
          <w:lang w:val="en-US"/>
        </w:rPr>
        <w:t>Denmark</w:t>
      </w:r>
      <w:r w:rsidRPr="002208F6">
        <w:rPr>
          <w:sz w:val="18"/>
          <w:szCs w:val="18"/>
          <w:lang w:val="en-US"/>
        </w:rPr>
        <w:t xml:space="preserve">. </w:t>
      </w:r>
      <w:r w:rsidRPr="002208F6">
        <w:rPr>
          <w:sz w:val="18"/>
          <w:szCs w:val="18"/>
          <w:vertAlign w:val="superscript"/>
          <w:lang w:val="en-US"/>
        </w:rPr>
        <w:t>5</w:t>
      </w:r>
      <w:r w:rsidRPr="002208F6">
        <w:rPr>
          <w:sz w:val="18"/>
          <w:szCs w:val="18"/>
          <w:lang w:val="en-US"/>
        </w:rPr>
        <w:t xml:space="preserve">University of </w:t>
      </w:r>
      <w:r w:rsidR="00B81E83" w:rsidRPr="002208F6">
        <w:rPr>
          <w:sz w:val="18"/>
          <w:szCs w:val="18"/>
          <w:lang w:val="en-US"/>
        </w:rPr>
        <w:t>Natural Sciences</w:t>
      </w:r>
      <w:r w:rsidRPr="002208F6">
        <w:rPr>
          <w:sz w:val="18"/>
          <w:szCs w:val="18"/>
          <w:lang w:val="en-US"/>
        </w:rPr>
        <w:t xml:space="preserve">, Department of Geosciences and Geography, </w:t>
      </w:r>
      <w:proofErr w:type="spellStart"/>
      <w:r w:rsidR="00B81E83" w:rsidRPr="002208F6">
        <w:rPr>
          <w:sz w:val="18"/>
          <w:szCs w:val="18"/>
          <w:lang w:val="en-US"/>
        </w:rPr>
        <w:t>Towncity</w:t>
      </w:r>
      <w:proofErr w:type="spellEnd"/>
      <w:r w:rsidRPr="002208F6">
        <w:rPr>
          <w:sz w:val="18"/>
          <w:szCs w:val="18"/>
          <w:lang w:val="en-US"/>
        </w:rPr>
        <w:t xml:space="preserve">, </w:t>
      </w:r>
      <w:r w:rsidR="00B81E83" w:rsidRPr="002208F6">
        <w:rPr>
          <w:sz w:val="18"/>
          <w:szCs w:val="18"/>
          <w:lang w:val="en-US"/>
        </w:rPr>
        <w:t>Iceland</w:t>
      </w:r>
      <w:r w:rsidRPr="002208F6">
        <w:rPr>
          <w:sz w:val="18"/>
          <w:szCs w:val="18"/>
          <w:lang w:val="en-US"/>
        </w:rPr>
        <w:t xml:space="preserve">. </w:t>
      </w:r>
      <w:r w:rsidRPr="002208F6">
        <w:rPr>
          <w:sz w:val="18"/>
          <w:szCs w:val="18"/>
          <w:vertAlign w:val="superscript"/>
          <w:lang w:val="en-US"/>
        </w:rPr>
        <w:t>6</w:t>
      </w:r>
      <w:r w:rsidRPr="002208F6">
        <w:rPr>
          <w:sz w:val="18"/>
          <w:szCs w:val="18"/>
          <w:lang w:val="en-US"/>
        </w:rPr>
        <w:t xml:space="preserve">University of </w:t>
      </w:r>
      <w:r w:rsidR="00B81E83" w:rsidRPr="002208F6">
        <w:rPr>
          <w:sz w:val="18"/>
          <w:szCs w:val="18"/>
          <w:lang w:val="en-US"/>
        </w:rPr>
        <w:t>Natural Sciences</w:t>
      </w:r>
      <w:r w:rsidRPr="002208F6">
        <w:rPr>
          <w:sz w:val="18"/>
          <w:szCs w:val="18"/>
          <w:lang w:val="en-US"/>
        </w:rPr>
        <w:t xml:space="preserve">, Department of Geosciences and Geography, </w:t>
      </w:r>
      <w:proofErr w:type="spellStart"/>
      <w:r w:rsidR="00B81E83" w:rsidRPr="002208F6">
        <w:rPr>
          <w:sz w:val="18"/>
          <w:szCs w:val="18"/>
          <w:lang w:val="en-US"/>
        </w:rPr>
        <w:t>Towncity</w:t>
      </w:r>
      <w:proofErr w:type="spellEnd"/>
      <w:r w:rsidRPr="002208F6">
        <w:rPr>
          <w:sz w:val="18"/>
          <w:szCs w:val="18"/>
          <w:lang w:val="en-US"/>
        </w:rPr>
        <w:t xml:space="preserve">, </w:t>
      </w:r>
      <w:r w:rsidR="00B81E83" w:rsidRPr="002208F6">
        <w:rPr>
          <w:sz w:val="18"/>
          <w:szCs w:val="18"/>
          <w:lang w:val="en-US"/>
        </w:rPr>
        <w:t>Estonia</w:t>
      </w:r>
      <w:r w:rsidRPr="002208F6">
        <w:rPr>
          <w:sz w:val="18"/>
          <w:szCs w:val="18"/>
          <w:lang w:val="en-US"/>
        </w:rPr>
        <w:t xml:space="preserve">. </w:t>
      </w:r>
      <w:r w:rsidRPr="002208F6">
        <w:rPr>
          <w:sz w:val="18"/>
          <w:szCs w:val="18"/>
          <w:vertAlign w:val="superscript"/>
          <w:lang w:val="en-US"/>
        </w:rPr>
        <w:t>7</w:t>
      </w:r>
      <w:r w:rsidRPr="002208F6">
        <w:rPr>
          <w:sz w:val="18"/>
          <w:szCs w:val="18"/>
          <w:lang w:val="en-US"/>
        </w:rPr>
        <w:t xml:space="preserve">University of </w:t>
      </w:r>
      <w:r w:rsidR="00B81E83" w:rsidRPr="002208F6">
        <w:rPr>
          <w:sz w:val="18"/>
          <w:szCs w:val="18"/>
          <w:lang w:val="en-US"/>
        </w:rPr>
        <w:t>Natural Sciences</w:t>
      </w:r>
      <w:r w:rsidRPr="002208F6">
        <w:rPr>
          <w:sz w:val="18"/>
          <w:szCs w:val="18"/>
          <w:lang w:val="en-US"/>
        </w:rPr>
        <w:t xml:space="preserve">, Department of Geosciences and Geography, </w:t>
      </w:r>
      <w:proofErr w:type="spellStart"/>
      <w:r w:rsidR="00B81E83" w:rsidRPr="002208F6">
        <w:rPr>
          <w:sz w:val="18"/>
          <w:szCs w:val="18"/>
          <w:lang w:val="en-US"/>
        </w:rPr>
        <w:t>Towncity</w:t>
      </w:r>
      <w:proofErr w:type="spellEnd"/>
      <w:r w:rsidRPr="002208F6">
        <w:rPr>
          <w:sz w:val="18"/>
          <w:szCs w:val="18"/>
          <w:lang w:val="en-US"/>
        </w:rPr>
        <w:t xml:space="preserve">, </w:t>
      </w:r>
      <w:r w:rsidR="00B81E83" w:rsidRPr="002208F6">
        <w:rPr>
          <w:sz w:val="18"/>
          <w:szCs w:val="18"/>
          <w:lang w:val="en-US"/>
        </w:rPr>
        <w:t>Latvia</w:t>
      </w:r>
      <w:r w:rsidRPr="002208F6">
        <w:rPr>
          <w:sz w:val="18"/>
          <w:szCs w:val="18"/>
          <w:lang w:val="en-US"/>
        </w:rPr>
        <w:t xml:space="preserve">. </w:t>
      </w:r>
      <w:r w:rsidRPr="002208F6">
        <w:rPr>
          <w:sz w:val="18"/>
          <w:szCs w:val="18"/>
          <w:vertAlign w:val="superscript"/>
          <w:lang w:val="en-US"/>
        </w:rPr>
        <w:t>8</w:t>
      </w:r>
      <w:r w:rsidRPr="002208F6">
        <w:rPr>
          <w:sz w:val="18"/>
          <w:szCs w:val="18"/>
          <w:lang w:val="en-US"/>
        </w:rPr>
        <w:t xml:space="preserve">University of </w:t>
      </w:r>
      <w:r w:rsidR="00B81E83" w:rsidRPr="002208F6">
        <w:rPr>
          <w:sz w:val="18"/>
          <w:szCs w:val="18"/>
          <w:lang w:val="en-US"/>
        </w:rPr>
        <w:t>Natural Sciences</w:t>
      </w:r>
      <w:r w:rsidRPr="002208F6">
        <w:rPr>
          <w:sz w:val="18"/>
          <w:szCs w:val="18"/>
          <w:lang w:val="en-US"/>
        </w:rPr>
        <w:t xml:space="preserve">, Department of Geosciences and Geography, </w:t>
      </w:r>
      <w:proofErr w:type="spellStart"/>
      <w:r w:rsidR="00B81E83" w:rsidRPr="002208F6">
        <w:rPr>
          <w:sz w:val="18"/>
          <w:szCs w:val="18"/>
          <w:lang w:val="en-US"/>
        </w:rPr>
        <w:t>Towncity</w:t>
      </w:r>
      <w:proofErr w:type="spellEnd"/>
      <w:r w:rsidRPr="002208F6">
        <w:rPr>
          <w:sz w:val="18"/>
          <w:szCs w:val="18"/>
          <w:lang w:val="en-US"/>
        </w:rPr>
        <w:t xml:space="preserve">, </w:t>
      </w:r>
      <w:r w:rsidR="00B81E83" w:rsidRPr="002208F6">
        <w:rPr>
          <w:sz w:val="18"/>
          <w:szCs w:val="18"/>
          <w:lang w:val="en-US"/>
        </w:rPr>
        <w:t>Lithuania</w:t>
      </w:r>
    </w:p>
    <w:p w14:paraId="7BEB02CE" w14:textId="77777777" w:rsidR="00F75B90" w:rsidRDefault="00F75B90" w:rsidP="00941E4A">
      <w:pPr>
        <w:tabs>
          <w:tab w:val="left" w:pos="567"/>
        </w:tabs>
        <w:rPr>
          <w:b/>
          <w:bCs/>
          <w:lang w:val="en-US"/>
        </w:rPr>
      </w:pPr>
    </w:p>
    <w:p w14:paraId="0BF23289" w14:textId="106C5532" w:rsidR="0078101A" w:rsidRDefault="0078101A" w:rsidP="00941E4A">
      <w:pPr>
        <w:tabs>
          <w:tab w:val="left" w:pos="567"/>
        </w:tabs>
        <w:rPr>
          <w:b/>
          <w:bCs/>
          <w:lang w:val="en-US"/>
        </w:rPr>
      </w:pPr>
      <w:r>
        <w:rPr>
          <w:b/>
          <w:bCs/>
          <w:lang w:val="en-US"/>
        </w:rPr>
        <w:t>Abstract</w:t>
      </w:r>
    </w:p>
    <w:p w14:paraId="2332F900" w14:textId="40E56EC0" w:rsidR="00F75B90" w:rsidRPr="00F75B90" w:rsidRDefault="00F75B90" w:rsidP="00941E4A">
      <w:pPr>
        <w:tabs>
          <w:tab w:val="left" w:pos="567"/>
        </w:tabs>
        <w:rPr>
          <w:lang w:val="en-US"/>
        </w:rPr>
      </w:pPr>
      <w:r w:rsidRPr="00F75B90">
        <w:rPr>
          <w:lang w:val="en-US"/>
        </w:rPr>
        <w:t xml:space="preserve">Geology is the study of </w:t>
      </w:r>
      <w:r w:rsidR="00941E4A">
        <w:rPr>
          <w:lang w:val="en-US"/>
        </w:rPr>
        <w:t xml:space="preserve">the </w:t>
      </w:r>
      <w:r w:rsidRPr="00F75B90">
        <w:rPr>
          <w:lang w:val="en-US"/>
        </w:rPr>
        <w:t>Earth's structure, composition, and the processes that shape its surface over time. Central to this scientific discipline is understanding the dynamic interplay between the Earth's internal forces and the external factors that influence the planet's geological features</w:t>
      </w:r>
      <w:r w:rsidR="00B81E83">
        <w:rPr>
          <w:lang w:val="en-US"/>
        </w:rPr>
        <w:t xml:space="preserve"> (e.g., </w:t>
      </w:r>
      <w:r w:rsidR="00941E4A">
        <w:rPr>
          <w:lang w:val="en-US"/>
        </w:rPr>
        <w:t xml:space="preserve">Wilson 1989), also in Fennoscandia (e.g., </w:t>
      </w:r>
      <w:r w:rsidR="00B81E83">
        <w:rPr>
          <w:lang w:val="en-US"/>
        </w:rPr>
        <w:t>Eklund et al. 1998)</w:t>
      </w:r>
      <w:r w:rsidRPr="00F75B90">
        <w:rPr>
          <w:lang w:val="en-US"/>
        </w:rPr>
        <w:t xml:space="preserve">. </w:t>
      </w:r>
      <w:proofErr w:type="gramStart"/>
      <w:r w:rsidRPr="00F75B90">
        <w:rPr>
          <w:lang w:val="en-US"/>
        </w:rPr>
        <w:t>This abstract aims</w:t>
      </w:r>
      <w:proofErr w:type="gramEnd"/>
      <w:r w:rsidRPr="00F75B90">
        <w:rPr>
          <w:lang w:val="en-US"/>
        </w:rPr>
        <w:t xml:space="preserve"> to provide a comprehensive overview of key geological processes, with a particular focus on tectonic plate movements, the formation of geological features such as mountains, earthquakes, and volcanoes, and the </w:t>
      </w:r>
      <w:proofErr w:type="spellStart"/>
      <w:r w:rsidR="00941E4A">
        <w:rPr>
          <w:lang w:val="en-US"/>
        </w:rPr>
        <w:t>Pudasjärvi</w:t>
      </w:r>
      <w:proofErr w:type="spellEnd"/>
      <w:r w:rsidR="00941E4A">
        <w:rPr>
          <w:lang w:val="en-US"/>
        </w:rPr>
        <w:t xml:space="preserve"> granulite belt (Lalli 2002)</w:t>
      </w:r>
      <w:r w:rsidRPr="00F75B90">
        <w:rPr>
          <w:lang w:val="en-US"/>
        </w:rPr>
        <w:t>.</w:t>
      </w:r>
    </w:p>
    <w:p w14:paraId="2F448D99" w14:textId="77777777" w:rsidR="00941E4A" w:rsidRDefault="00941E4A" w:rsidP="00941E4A">
      <w:pPr>
        <w:tabs>
          <w:tab w:val="left" w:pos="567"/>
        </w:tabs>
        <w:rPr>
          <w:lang w:val="en-US"/>
        </w:rPr>
      </w:pPr>
    </w:p>
    <w:p w14:paraId="7587410D" w14:textId="14A10B49" w:rsidR="00F75B90" w:rsidRPr="00F75B90" w:rsidRDefault="00F75B90" w:rsidP="00941E4A">
      <w:pPr>
        <w:tabs>
          <w:tab w:val="left" w:pos="567"/>
        </w:tabs>
        <w:rPr>
          <w:lang w:val="en-US"/>
        </w:rPr>
      </w:pPr>
      <w:r w:rsidRPr="00F75B90">
        <w:rPr>
          <w:lang w:val="en-US"/>
        </w:rPr>
        <w:t>The Earth's lithosphere is divided into tectonic plates that float atop the semi-fluid asthenosphere. The movement of these plates is driven by mantle convection, slab pull, and ridge push, resulting in various geological phenomena</w:t>
      </w:r>
      <w:r w:rsidR="00941E4A">
        <w:rPr>
          <w:lang w:val="en-US"/>
        </w:rPr>
        <w:t xml:space="preserve"> like, for example, layered mafic intrusions (</w:t>
      </w:r>
      <w:proofErr w:type="spellStart"/>
      <w:r w:rsidR="00941E4A">
        <w:rPr>
          <w:lang w:val="en-US"/>
        </w:rPr>
        <w:t>Iljina</w:t>
      </w:r>
      <w:proofErr w:type="spellEnd"/>
      <w:r w:rsidR="00941E4A">
        <w:rPr>
          <w:lang w:val="en-US"/>
        </w:rPr>
        <w:t xml:space="preserve"> &amp; Hanski 2005)</w:t>
      </w:r>
      <w:r w:rsidRPr="00F75B90">
        <w:rPr>
          <w:lang w:val="en-US"/>
        </w:rPr>
        <w:t>. When plates collide, they may form mountain ranges or cause subduction zones, where one plate is forced beneath another. This process is responsible for the formation of deep ocean trenches and volcanic arcs. Conversely, when plates diverge, new crust is created along mid-ocean ridges, contributing to the expansion of ocean basins.</w:t>
      </w:r>
    </w:p>
    <w:p w14:paraId="36A7E140" w14:textId="77777777" w:rsidR="00941E4A" w:rsidRDefault="00941E4A" w:rsidP="00941E4A">
      <w:pPr>
        <w:tabs>
          <w:tab w:val="left" w:pos="567"/>
        </w:tabs>
        <w:rPr>
          <w:lang w:val="en-US"/>
        </w:rPr>
      </w:pPr>
    </w:p>
    <w:p w14:paraId="60D77792" w14:textId="2E816FB9" w:rsidR="00F75B90" w:rsidRPr="00F75B90" w:rsidRDefault="00F75B90" w:rsidP="00941E4A">
      <w:pPr>
        <w:tabs>
          <w:tab w:val="left" w:pos="567"/>
        </w:tabs>
        <w:rPr>
          <w:lang w:val="en-US"/>
        </w:rPr>
      </w:pPr>
      <w:r w:rsidRPr="00F75B90">
        <w:rPr>
          <w:lang w:val="en-US"/>
        </w:rPr>
        <w:t>The interaction of tectonic plates is also a primary cause of seismic activity. Earthquakes occur when stress accumulated along faults is suddenly released, sending shockwaves through the Earth’s crust. These seismic events are commonly associated with plate boundaries, particularly transform and convergent boundaries. Understanding the frequency, magnitude, and distribution of earthquakes helps in assessing seismic hazards and improving the safety and preparedness of regions prone to such events.</w:t>
      </w:r>
    </w:p>
    <w:p w14:paraId="38287400" w14:textId="635E3F7F" w:rsidR="004A2C43" w:rsidRDefault="004A2C43" w:rsidP="00941E4A">
      <w:pPr>
        <w:tabs>
          <w:tab w:val="left" w:pos="567"/>
        </w:tabs>
        <w:rPr>
          <w:lang w:val="en-US"/>
        </w:rPr>
      </w:pPr>
    </w:p>
    <w:p w14:paraId="16867B49" w14:textId="70C73D56" w:rsidR="00B81E83" w:rsidRPr="00B81E83" w:rsidRDefault="00B81E83" w:rsidP="00941E4A">
      <w:pPr>
        <w:tabs>
          <w:tab w:val="left" w:pos="567"/>
        </w:tabs>
        <w:rPr>
          <w:b/>
          <w:bCs/>
          <w:lang w:val="en-US"/>
        </w:rPr>
      </w:pPr>
      <w:r w:rsidRPr="00B81E83">
        <w:rPr>
          <w:b/>
          <w:bCs/>
          <w:lang w:val="en-US"/>
        </w:rPr>
        <w:t>References (</w:t>
      </w:r>
      <w:r w:rsidR="00941E4A" w:rsidRPr="00941E4A">
        <w:rPr>
          <w:b/>
          <w:bCs/>
          <w:color w:val="FF0000"/>
          <w:lang w:val="en-US"/>
        </w:rPr>
        <w:t xml:space="preserve">layout </w:t>
      </w:r>
      <w:r w:rsidRPr="00B81E83">
        <w:rPr>
          <w:b/>
          <w:bCs/>
          <w:color w:val="FF0000"/>
          <w:lang w:val="en-US"/>
        </w:rPr>
        <w:t>as in Bull</w:t>
      </w:r>
      <w:r w:rsidR="00941E4A">
        <w:rPr>
          <w:b/>
          <w:bCs/>
          <w:color w:val="FF0000"/>
          <w:lang w:val="en-US"/>
        </w:rPr>
        <w:t>.</w:t>
      </w:r>
      <w:r w:rsidRPr="00B81E83">
        <w:rPr>
          <w:b/>
          <w:bCs/>
          <w:color w:val="FF0000"/>
          <w:lang w:val="en-US"/>
        </w:rPr>
        <w:t xml:space="preserve"> of the Geol</w:t>
      </w:r>
      <w:r>
        <w:rPr>
          <w:b/>
          <w:bCs/>
          <w:color w:val="FF0000"/>
          <w:lang w:val="en-US"/>
        </w:rPr>
        <w:t>.</w:t>
      </w:r>
      <w:r w:rsidRPr="00B81E83">
        <w:rPr>
          <w:b/>
          <w:bCs/>
          <w:color w:val="FF0000"/>
          <w:lang w:val="en-US"/>
        </w:rPr>
        <w:t xml:space="preserve"> Soc</w:t>
      </w:r>
      <w:r>
        <w:rPr>
          <w:b/>
          <w:bCs/>
          <w:color w:val="FF0000"/>
          <w:lang w:val="en-US"/>
        </w:rPr>
        <w:t>.</w:t>
      </w:r>
      <w:r w:rsidRPr="00B81E83">
        <w:rPr>
          <w:b/>
          <w:bCs/>
          <w:color w:val="FF0000"/>
          <w:lang w:val="en-US"/>
        </w:rPr>
        <w:t xml:space="preserve"> of Finland</w:t>
      </w:r>
      <w:r>
        <w:rPr>
          <w:b/>
          <w:bCs/>
          <w:lang w:val="en-US"/>
        </w:rPr>
        <w:t xml:space="preserve">: </w:t>
      </w:r>
      <w:hyperlink r:id="rId4" w:history="1">
        <w:r w:rsidRPr="002A47B3">
          <w:rPr>
            <w:rStyle w:val="Hyperlink"/>
            <w:b/>
            <w:bCs/>
            <w:lang w:val="en-US"/>
          </w:rPr>
          <w:t>https://www.geologinenseura.fi/fi/bulletin</w:t>
        </w:r>
      </w:hyperlink>
      <w:r>
        <w:rPr>
          <w:b/>
          <w:bCs/>
          <w:lang w:val="en-US"/>
        </w:rPr>
        <w:t>)</w:t>
      </w:r>
    </w:p>
    <w:p w14:paraId="6B39FB21" w14:textId="69364FD9" w:rsidR="00B81E83" w:rsidRPr="00B81E83" w:rsidRDefault="00B81E83" w:rsidP="00941E4A">
      <w:pPr>
        <w:tabs>
          <w:tab w:val="left" w:pos="567"/>
        </w:tabs>
      </w:pPr>
      <w:r w:rsidRPr="00B81E83">
        <w:rPr>
          <w:lang w:val="sv-SE"/>
        </w:rPr>
        <w:t xml:space="preserve">Eklund, O., </w:t>
      </w:r>
      <w:proofErr w:type="spellStart"/>
      <w:r w:rsidRPr="00B81E83">
        <w:rPr>
          <w:lang w:val="sv-SE"/>
        </w:rPr>
        <w:t>Konopelko</w:t>
      </w:r>
      <w:proofErr w:type="spellEnd"/>
      <w:r w:rsidRPr="00B81E83">
        <w:rPr>
          <w:lang w:val="sv-SE"/>
        </w:rPr>
        <w:t xml:space="preserve">, D., </w:t>
      </w:r>
      <w:proofErr w:type="spellStart"/>
      <w:r w:rsidRPr="00B81E83">
        <w:rPr>
          <w:lang w:val="sv-SE"/>
        </w:rPr>
        <w:t>Rutanen</w:t>
      </w:r>
      <w:proofErr w:type="spellEnd"/>
      <w:r w:rsidRPr="00B81E83">
        <w:rPr>
          <w:lang w:val="sv-SE"/>
        </w:rPr>
        <w:t xml:space="preserve">, H., Fröjdö, S. &amp; </w:t>
      </w:r>
      <w:proofErr w:type="spellStart"/>
      <w:r w:rsidRPr="00B81E83">
        <w:rPr>
          <w:lang w:val="sv-SE"/>
        </w:rPr>
        <w:t>Shebanov</w:t>
      </w:r>
      <w:proofErr w:type="spellEnd"/>
      <w:r w:rsidRPr="00B81E83">
        <w:rPr>
          <w:lang w:val="sv-SE"/>
        </w:rPr>
        <w:t xml:space="preserve">, A. D., 1998. </w:t>
      </w:r>
      <w:r w:rsidRPr="00B81E83">
        <w:rPr>
          <w:lang w:val="en-US"/>
        </w:rPr>
        <w:t xml:space="preserve">1.8 Ga Svecofennian post-collisional shoshonitic magmatism in the Fennoscandian shield. </w:t>
      </w:r>
      <w:proofErr w:type="spellStart"/>
      <w:r w:rsidRPr="00B81E83">
        <w:t>Lithos</w:t>
      </w:r>
      <w:proofErr w:type="spellEnd"/>
      <w:r w:rsidRPr="00B81E83">
        <w:t xml:space="preserve"> 45, 87–108. </w:t>
      </w:r>
    </w:p>
    <w:p w14:paraId="4E39C678" w14:textId="77777777" w:rsidR="00B81E83" w:rsidRPr="00F75B90" w:rsidRDefault="00B81E83" w:rsidP="00941E4A">
      <w:pPr>
        <w:tabs>
          <w:tab w:val="left" w:pos="567"/>
        </w:tabs>
        <w:rPr>
          <w:lang w:val="en-US"/>
        </w:rPr>
      </w:pPr>
      <w:r w:rsidRPr="00B81E83">
        <w:t xml:space="preserve">Lalli, K., 2002. Pudasjärven </w:t>
      </w:r>
      <w:proofErr w:type="spellStart"/>
      <w:r w:rsidRPr="00B81E83">
        <w:t>granuliittivyöhykkeen</w:t>
      </w:r>
      <w:proofErr w:type="spellEnd"/>
      <w:r w:rsidRPr="00B81E83">
        <w:t xml:space="preserve"> Isokummun alueen petrografia, geokemia ja metamorfinen petrologia. </w:t>
      </w:r>
      <w:r w:rsidRPr="00B81E83">
        <w:rPr>
          <w:lang w:val="en-US"/>
        </w:rPr>
        <w:t>MSc Thesis, University of Oulu, Finland, 105 p.</w:t>
      </w:r>
    </w:p>
    <w:p w14:paraId="753F3F9B" w14:textId="6D2E9A62" w:rsidR="00B81E83" w:rsidRPr="00B81E83" w:rsidRDefault="00941E4A" w:rsidP="00941E4A">
      <w:pPr>
        <w:tabs>
          <w:tab w:val="left" w:pos="567"/>
        </w:tabs>
        <w:rPr>
          <w:lang w:val="en-US"/>
        </w:rPr>
      </w:pPr>
      <w:proofErr w:type="spellStart"/>
      <w:r w:rsidRPr="00941E4A">
        <w:rPr>
          <w:lang w:val="en-US"/>
        </w:rPr>
        <w:t>Iljina</w:t>
      </w:r>
      <w:proofErr w:type="spellEnd"/>
      <w:r w:rsidRPr="00941E4A">
        <w:rPr>
          <w:lang w:val="en-US"/>
        </w:rPr>
        <w:t>, M. &amp; Hanski, E.</w:t>
      </w:r>
      <w:r>
        <w:rPr>
          <w:lang w:val="en-US"/>
        </w:rPr>
        <w:t>,</w:t>
      </w:r>
      <w:r w:rsidR="00B81E83" w:rsidRPr="00941E4A">
        <w:rPr>
          <w:lang w:val="en-US"/>
        </w:rPr>
        <w:t xml:space="preserve"> 2005. </w:t>
      </w:r>
      <w:r w:rsidRPr="00941E4A">
        <w:rPr>
          <w:lang w:val="en-US"/>
        </w:rPr>
        <w:t>Layered mafic intrusions of the Tornio-</w:t>
      </w:r>
      <w:proofErr w:type="spellStart"/>
      <w:r>
        <w:rPr>
          <w:lang w:val="en-US"/>
        </w:rPr>
        <w:t>Näränkävaara</w:t>
      </w:r>
      <w:proofErr w:type="spellEnd"/>
      <w:r w:rsidRPr="00941E4A">
        <w:rPr>
          <w:lang w:val="en-US"/>
        </w:rPr>
        <w:t xml:space="preserve"> belt</w:t>
      </w:r>
      <w:r w:rsidR="00B81E83" w:rsidRPr="00941E4A">
        <w:rPr>
          <w:lang w:val="en-US"/>
        </w:rPr>
        <w:t xml:space="preserve">. </w:t>
      </w:r>
      <w:r w:rsidR="00B81E83" w:rsidRPr="0078101A">
        <w:rPr>
          <w:lang w:val="en-US"/>
        </w:rPr>
        <w:t xml:space="preserve">In: Lehtinen, M. et al. </w:t>
      </w:r>
      <w:r w:rsidR="00B81E83" w:rsidRPr="00B81E83">
        <w:rPr>
          <w:lang w:val="en-US"/>
        </w:rPr>
        <w:t xml:space="preserve">(eds.), The Precambrian Geology of Finland – Key to the Evolution of the Fennoscandian Shield. Elsevier B.V., Amsterdam, pp. </w:t>
      </w:r>
      <w:r>
        <w:rPr>
          <w:lang w:val="en-US"/>
        </w:rPr>
        <w:t>101</w:t>
      </w:r>
      <w:r w:rsidR="00B81E83" w:rsidRPr="00B81E83">
        <w:rPr>
          <w:lang w:val="en-US"/>
        </w:rPr>
        <w:t>–</w:t>
      </w:r>
      <w:r>
        <w:rPr>
          <w:lang w:val="en-US"/>
        </w:rPr>
        <w:t>138</w:t>
      </w:r>
      <w:r w:rsidR="00B81E83" w:rsidRPr="00B81E83">
        <w:rPr>
          <w:lang w:val="en-US"/>
        </w:rPr>
        <w:t>.</w:t>
      </w:r>
    </w:p>
    <w:p w14:paraId="5824D71D" w14:textId="16780DC7" w:rsidR="00B81E83" w:rsidRPr="00B81E83" w:rsidRDefault="00B81E83" w:rsidP="00941E4A">
      <w:pPr>
        <w:tabs>
          <w:tab w:val="left" w:pos="567"/>
        </w:tabs>
        <w:rPr>
          <w:lang w:val="en-US"/>
        </w:rPr>
      </w:pPr>
      <w:r w:rsidRPr="00B81E83">
        <w:rPr>
          <w:lang w:val="en-US"/>
        </w:rPr>
        <w:t xml:space="preserve">Wilson, B. M., 1989. Igneous Petrogenesis – a Global Tectonic Approach. Unwin Hyman, London, 466 p. </w:t>
      </w:r>
    </w:p>
    <w:sectPr w:rsidR="00B81E83" w:rsidRPr="00B81E8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90"/>
    <w:rsid w:val="001167E5"/>
    <w:rsid w:val="002208F6"/>
    <w:rsid w:val="00264A70"/>
    <w:rsid w:val="002A47FE"/>
    <w:rsid w:val="004A2C43"/>
    <w:rsid w:val="004A7E09"/>
    <w:rsid w:val="005073A8"/>
    <w:rsid w:val="00653071"/>
    <w:rsid w:val="006C6D04"/>
    <w:rsid w:val="006D48C4"/>
    <w:rsid w:val="0078001B"/>
    <w:rsid w:val="0078101A"/>
    <w:rsid w:val="0088405A"/>
    <w:rsid w:val="00901A07"/>
    <w:rsid w:val="00941E4A"/>
    <w:rsid w:val="00AF2270"/>
    <w:rsid w:val="00B56FA7"/>
    <w:rsid w:val="00B720FF"/>
    <w:rsid w:val="00B81E83"/>
    <w:rsid w:val="00BB0177"/>
    <w:rsid w:val="00BF796E"/>
    <w:rsid w:val="00C67111"/>
    <w:rsid w:val="00C833A2"/>
    <w:rsid w:val="00CF54B0"/>
    <w:rsid w:val="00D4244E"/>
    <w:rsid w:val="00F75B90"/>
    <w:rsid w:val="00FC17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9A91"/>
  <w15:chartTrackingRefBased/>
  <w15:docId w15:val="{BF2B0E9E-B55B-45C8-BE9D-330FF582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5B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B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5B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5B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5B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B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B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B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B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5B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5B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5B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5B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5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B90"/>
    <w:rPr>
      <w:rFonts w:eastAsiaTheme="majorEastAsia" w:cstheme="majorBidi"/>
      <w:color w:val="272727" w:themeColor="text1" w:themeTint="D8"/>
    </w:rPr>
  </w:style>
  <w:style w:type="paragraph" w:styleId="Title">
    <w:name w:val="Title"/>
    <w:basedOn w:val="Normal"/>
    <w:next w:val="Normal"/>
    <w:link w:val="TitleChar"/>
    <w:uiPriority w:val="10"/>
    <w:qFormat/>
    <w:rsid w:val="00F75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B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B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5B90"/>
    <w:rPr>
      <w:i/>
      <w:iCs/>
      <w:color w:val="404040" w:themeColor="text1" w:themeTint="BF"/>
    </w:rPr>
  </w:style>
  <w:style w:type="paragraph" w:styleId="ListParagraph">
    <w:name w:val="List Paragraph"/>
    <w:basedOn w:val="Normal"/>
    <w:uiPriority w:val="34"/>
    <w:qFormat/>
    <w:rsid w:val="00F75B90"/>
    <w:pPr>
      <w:ind w:left="720"/>
      <w:contextualSpacing/>
    </w:pPr>
  </w:style>
  <w:style w:type="character" w:styleId="IntenseEmphasis">
    <w:name w:val="Intense Emphasis"/>
    <w:basedOn w:val="DefaultParagraphFont"/>
    <w:uiPriority w:val="21"/>
    <w:qFormat/>
    <w:rsid w:val="00F75B90"/>
    <w:rPr>
      <w:i/>
      <w:iCs/>
      <w:color w:val="2F5496" w:themeColor="accent1" w:themeShade="BF"/>
    </w:rPr>
  </w:style>
  <w:style w:type="paragraph" w:styleId="IntenseQuote">
    <w:name w:val="Intense Quote"/>
    <w:basedOn w:val="Normal"/>
    <w:next w:val="Normal"/>
    <w:link w:val="IntenseQuoteChar"/>
    <w:uiPriority w:val="30"/>
    <w:qFormat/>
    <w:rsid w:val="00F75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5B90"/>
    <w:rPr>
      <w:i/>
      <w:iCs/>
      <w:color w:val="2F5496" w:themeColor="accent1" w:themeShade="BF"/>
    </w:rPr>
  </w:style>
  <w:style w:type="character" w:styleId="IntenseReference">
    <w:name w:val="Intense Reference"/>
    <w:basedOn w:val="DefaultParagraphFont"/>
    <w:uiPriority w:val="32"/>
    <w:qFormat/>
    <w:rsid w:val="00F75B90"/>
    <w:rPr>
      <w:b/>
      <w:bCs/>
      <w:smallCaps/>
      <w:color w:val="2F5496" w:themeColor="accent1" w:themeShade="BF"/>
      <w:spacing w:val="5"/>
    </w:rPr>
  </w:style>
  <w:style w:type="character" w:styleId="Hyperlink">
    <w:name w:val="Hyperlink"/>
    <w:basedOn w:val="DefaultParagraphFont"/>
    <w:uiPriority w:val="99"/>
    <w:unhideWhenUsed/>
    <w:rsid w:val="00B81E83"/>
    <w:rPr>
      <w:color w:val="0563C1" w:themeColor="hyperlink"/>
      <w:u w:val="single"/>
    </w:rPr>
  </w:style>
  <w:style w:type="character" w:styleId="UnresolvedMention">
    <w:name w:val="Unresolved Mention"/>
    <w:basedOn w:val="DefaultParagraphFont"/>
    <w:uiPriority w:val="99"/>
    <w:semiHidden/>
    <w:unhideWhenUsed/>
    <w:rsid w:val="00B8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560151">
      <w:bodyDiv w:val="1"/>
      <w:marLeft w:val="0"/>
      <w:marRight w:val="0"/>
      <w:marTop w:val="0"/>
      <w:marBottom w:val="0"/>
      <w:divBdr>
        <w:top w:val="none" w:sz="0" w:space="0" w:color="auto"/>
        <w:left w:val="none" w:sz="0" w:space="0" w:color="auto"/>
        <w:bottom w:val="none" w:sz="0" w:space="0" w:color="auto"/>
        <w:right w:val="none" w:sz="0" w:space="0" w:color="auto"/>
      </w:divBdr>
      <w:divsChild>
        <w:div w:id="643779577">
          <w:marLeft w:val="0"/>
          <w:marRight w:val="0"/>
          <w:marTop w:val="0"/>
          <w:marBottom w:val="0"/>
          <w:divBdr>
            <w:top w:val="none" w:sz="0" w:space="0" w:color="auto"/>
            <w:left w:val="none" w:sz="0" w:space="0" w:color="auto"/>
            <w:bottom w:val="none" w:sz="0" w:space="0" w:color="auto"/>
            <w:right w:val="none" w:sz="0" w:space="0" w:color="auto"/>
          </w:divBdr>
          <w:divsChild>
            <w:div w:id="1668632459">
              <w:marLeft w:val="0"/>
              <w:marRight w:val="0"/>
              <w:marTop w:val="0"/>
              <w:marBottom w:val="0"/>
              <w:divBdr>
                <w:top w:val="none" w:sz="0" w:space="0" w:color="auto"/>
                <w:left w:val="none" w:sz="0" w:space="0" w:color="auto"/>
                <w:bottom w:val="none" w:sz="0" w:space="0" w:color="auto"/>
                <w:right w:val="none" w:sz="0" w:space="0" w:color="auto"/>
              </w:divBdr>
              <w:divsChild>
                <w:div w:id="845174092">
                  <w:marLeft w:val="0"/>
                  <w:marRight w:val="0"/>
                  <w:marTop w:val="0"/>
                  <w:marBottom w:val="0"/>
                  <w:divBdr>
                    <w:top w:val="none" w:sz="0" w:space="0" w:color="auto"/>
                    <w:left w:val="none" w:sz="0" w:space="0" w:color="auto"/>
                    <w:bottom w:val="none" w:sz="0" w:space="0" w:color="auto"/>
                    <w:right w:val="none" w:sz="0" w:space="0" w:color="auto"/>
                  </w:divBdr>
                </w:div>
              </w:divsChild>
            </w:div>
            <w:div w:id="6191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8815">
      <w:bodyDiv w:val="1"/>
      <w:marLeft w:val="0"/>
      <w:marRight w:val="0"/>
      <w:marTop w:val="0"/>
      <w:marBottom w:val="0"/>
      <w:divBdr>
        <w:top w:val="none" w:sz="0" w:space="0" w:color="auto"/>
        <w:left w:val="none" w:sz="0" w:space="0" w:color="auto"/>
        <w:bottom w:val="none" w:sz="0" w:space="0" w:color="auto"/>
        <w:right w:val="none" w:sz="0" w:space="0" w:color="auto"/>
      </w:divBdr>
      <w:divsChild>
        <w:div w:id="762528528">
          <w:marLeft w:val="0"/>
          <w:marRight w:val="0"/>
          <w:marTop w:val="0"/>
          <w:marBottom w:val="0"/>
          <w:divBdr>
            <w:top w:val="none" w:sz="0" w:space="0" w:color="auto"/>
            <w:left w:val="none" w:sz="0" w:space="0" w:color="auto"/>
            <w:bottom w:val="none" w:sz="0" w:space="0" w:color="auto"/>
            <w:right w:val="none" w:sz="0" w:space="0" w:color="auto"/>
          </w:divBdr>
          <w:divsChild>
            <w:div w:id="1724520495">
              <w:marLeft w:val="0"/>
              <w:marRight w:val="0"/>
              <w:marTop w:val="0"/>
              <w:marBottom w:val="0"/>
              <w:divBdr>
                <w:top w:val="none" w:sz="0" w:space="0" w:color="auto"/>
                <w:left w:val="none" w:sz="0" w:space="0" w:color="auto"/>
                <w:bottom w:val="none" w:sz="0" w:space="0" w:color="auto"/>
                <w:right w:val="none" w:sz="0" w:space="0" w:color="auto"/>
              </w:divBdr>
              <w:divsChild>
                <w:div w:id="1398091001">
                  <w:marLeft w:val="0"/>
                  <w:marRight w:val="0"/>
                  <w:marTop w:val="0"/>
                  <w:marBottom w:val="0"/>
                  <w:divBdr>
                    <w:top w:val="none" w:sz="0" w:space="0" w:color="auto"/>
                    <w:left w:val="none" w:sz="0" w:space="0" w:color="auto"/>
                    <w:bottom w:val="none" w:sz="0" w:space="0" w:color="auto"/>
                    <w:right w:val="none" w:sz="0" w:space="0" w:color="auto"/>
                  </w:divBdr>
                </w:div>
              </w:divsChild>
            </w:div>
            <w:div w:id="13813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ologinenseura.fi/fi/bull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3323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 Heinonen</dc:creator>
  <cp:keywords/>
  <dc:description/>
  <cp:lastModifiedBy>Ahonen Tina</cp:lastModifiedBy>
  <cp:revision>2</cp:revision>
  <dcterms:created xsi:type="dcterms:W3CDTF">2025-05-30T12:02:00Z</dcterms:created>
  <dcterms:modified xsi:type="dcterms:W3CDTF">2025-05-30T12:02:00Z</dcterms:modified>
</cp:coreProperties>
</file>